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48" w:rsidRDefault="00792148" w:rsidP="0079214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92148" w:rsidRDefault="00792148" w:rsidP="0079214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C4225" w:rsidRPr="000C4225" w:rsidRDefault="000C4225" w:rsidP="000C4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0C4225" w:rsidRDefault="000C4225" w:rsidP="000C4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0C4225" w:rsidRDefault="007D766D" w:rsidP="000C4225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0C4225" w:rsidRDefault="007D766D" w:rsidP="000C4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FA1">
        <w:rPr>
          <w:rFonts w:ascii="Times New Roman" w:hAnsi="Times New Roman"/>
          <w:sz w:val="28"/>
          <w:szCs w:val="28"/>
        </w:rPr>
        <w:t xml:space="preserve">от </w:t>
      </w:r>
      <w:r w:rsidR="00A946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37FA1">
        <w:rPr>
          <w:rFonts w:ascii="Times New Roman" w:hAnsi="Times New Roman"/>
          <w:sz w:val="28"/>
          <w:szCs w:val="28"/>
        </w:rPr>
        <w:t>№</w:t>
      </w:r>
      <w:r w:rsidR="00070656">
        <w:rPr>
          <w:rFonts w:ascii="Times New Roman" w:hAnsi="Times New Roman"/>
          <w:sz w:val="28"/>
          <w:szCs w:val="28"/>
        </w:rPr>
        <w:t xml:space="preserve"> </w:t>
      </w: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80D40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итогах социально-экономического развития Барлакского сельсовета Мошковского района Новосибирской области </w:t>
      </w:r>
      <w:r w:rsidR="00823FB3">
        <w:rPr>
          <w:rFonts w:ascii="Times New Roman" w:hAnsi="Times New Roman"/>
          <w:b/>
          <w:sz w:val="28"/>
          <w:szCs w:val="28"/>
        </w:rPr>
        <w:t xml:space="preserve">за </w:t>
      </w:r>
      <w:r w:rsidR="00E27EDD">
        <w:rPr>
          <w:rFonts w:ascii="Times New Roman" w:hAnsi="Times New Roman"/>
          <w:b/>
          <w:sz w:val="28"/>
          <w:szCs w:val="28"/>
        </w:rPr>
        <w:t>202</w:t>
      </w:r>
      <w:r w:rsidR="002353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766D" w:rsidRDefault="007D766D" w:rsidP="007D76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В соответствии с Бюджетным кодексом Российской Федерации, п.6 </w:t>
      </w:r>
      <w:r w:rsidR="00A9464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ст. 17 Закона РФ от 06.10.2003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№ 131-ФЗ «Об общих принципах организации органов местного самоуправления в Российской Федерации», в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соответствии с Законом Новосибирской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области от 15.12.2007 N 166-ОЗ «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 прогнозировании, программах и планах социально-экономического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развития Новосибирской области»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Уставом Барлакского сельсовета Мошковского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D766D" w:rsidRDefault="007D766D" w:rsidP="007D76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итоги социально-экономического развития Барлакского сельсовета Мошковского района Новосибирской области </w:t>
      </w:r>
      <w:r w:rsidR="00480D40">
        <w:rPr>
          <w:sz w:val="28"/>
          <w:szCs w:val="28"/>
        </w:rPr>
        <w:t>за 202</w:t>
      </w:r>
      <w:r w:rsidR="002353C0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1.</w:t>
      </w:r>
    </w:p>
    <w:p w:rsidR="00EE6DC3" w:rsidRDefault="007D766D" w:rsidP="00EE6DC3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</w:t>
      </w:r>
      <w:r w:rsidR="0050514B">
        <w:rPr>
          <w:rFonts w:ascii="Times New Roman" w:hAnsi="Times New Roman"/>
          <w:sz w:val="28"/>
          <w:szCs w:val="28"/>
        </w:rPr>
        <w:t xml:space="preserve"> </w:t>
      </w:r>
      <w:r w:rsidR="00EE6DC3">
        <w:rPr>
          <w:rFonts w:ascii="Times New Roman" w:hAnsi="Times New Roman"/>
          <w:sz w:val="28"/>
          <w:szCs w:val="28"/>
        </w:rPr>
        <w:t>и разместить на официальном сайте Барлакского сельсовета Мошковского района Новосибирской области.</w:t>
      </w:r>
    </w:p>
    <w:p w:rsidR="007D766D" w:rsidRDefault="007D766D" w:rsidP="007D7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327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Барлакского сельсовета</w:t>
      </w: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 Новосибирской об</w:t>
      </w:r>
      <w:r w:rsidR="00C32745">
        <w:rPr>
          <w:rFonts w:ascii="Times New Roman" w:hAnsi="Times New Roman"/>
          <w:sz w:val="28"/>
          <w:szCs w:val="28"/>
        </w:rPr>
        <w:t xml:space="preserve">ласти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C653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32745">
        <w:rPr>
          <w:rFonts w:ascii="Times New Roman" w:hAnsi="Times New Roman"/>
          <w:sz w:val="28"/>
          <w:szCs w:val="28"/>
        </w:rPr>
        <w:t>В.А. Счастный</w:t>
      </w:r>
    </w:p>
    <w:p w:rsidR="007D766D" w:rsidRDefault="007D766D" w:rsidP="007D766D">
      <w:pPr>
        <w:rPr>
          <w:rFonts w:ascii="Times New Roman" w:hAnsi="Times New Roman"/>
        </w:rPr>
        <w:sectPr w:rsidR="007D766D" w:rsidSect="004C5E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57FFB" w:rsidRPr="004F19BB" w:rsidRDefault="00B72E02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Барлакского </w:t>
      </w:r>
      <w:r w:rsidR="00B57FFB" w:rsidRPr="004F19BB">
        <w:rPr>
          <w:rFonts w:ascii="Times New Roman" w:hAnsi="Times New Roman"/>
          <w:sz w:val="24"/>
          <w:szCs w:val="24"/>
        </w:rPr>
        <w:t>сельсовета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Мошковского района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Новосибирской области</w:t>
      </w:r>
    </w:p>
    <w:p w:rsidR="00644FE1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от </w:t>
      </w:r>
      <w:r w:rsidR="00A94641">
        <w:rPr>
          <w:rFonts w:ascii="Times New Roman" w:hAnsi="Times New Roman"/>
          <w:sz w:val="24"/>
          <w:szCs w:val="24"/>
        </w:rPr>
        <w:t xml:space="preserve">        </w:t>
      </w:r>
      <w:r w:rsidRPr="004F19BB">
        <w:rPr>
          <w:rFonts w:ascii="Times New Roman" w:hAnsi="Times New Roman"/>
          <w:sz w:val="24"/>
          <w:szCs w:val="24"/>
        </w:rPr>
        <w:t>№</w:t>
      </w:r>
    </w:p>
    <w:p w:rsidR="00B57FFB" w:rsidRPr="004F19BB" w:rsidRDefault="002353C0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7FFB" w:rsidRPr="004F19BB">
        <w:rPr>
          <w:rFonts w:ascii="Times New Roman" w:hAnsi="Times New Roman"/>
          <w:sz w:val="24"/>
          <w:szCs w:val="24"/>
        </w:rPr>
        <w:t xml:space="preserve"> </w:t>
      </w:r>
    </w:p>
    <w:p w:rsidR="00B57FFB" w:rsidRPr="00020FBD" w:rsidRDefault="00DF49B3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Итоги</w:t>
      </w:r>
      <w:r w:rsidR="00B57FFB" w:rsidRPr="00020FBD">
        <w:rPr>
          <w:rFonts w:ascii="Times New Roman" w:eastAsia="Times New Roman" w:hAnsi="Times New Roman"/>
          <w:b/>
          <w:sz w:val="24"/>
          <w:szCs w:val="24"/>
        </w:rPr>
        <w:t xml:space="preserve"> социально-экономического развития</w:t>
      </w:r>
    </w:p>
    <w:p w:rsidR="00B57FFB" w:rsidRPr="00020FBD" w:rsidRDefault="00B57FFB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Барлакского сельсовета Мошковского района Новосибирской области</w:t>
      </w:r>
    </w:p>
    <w:p w:rsidR="00B57FFB" w:rsidRPr="00020FBD" w:rsidRDefault="00034887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за 202</w:t>
      </w:r>
      <w:r w:rsidR="002353C0" w:rsidRPr="00020FBD">
        <w:rPr>
          <w:rFonts w:ascii="Times New Roman" w:eastAsia="Times New Roman" w:hAnsi="Times New Roman"/>
          <w:b/>
          <w:sz w:val="24"/>
          <w:szCs w:val="24"/>
        </w:rPr>
        <w:t>2</w:t>
      </w:r>
      <w:r w:rsidR="00B57FFB" w:rsidRPr="00020FBD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E21234" w:rsidRPr="00020FBD" w:rsidRDefault="00E21234" w:rsidP="007D75EF">
      <w:pPr>
        <w:suppressAutoHyphens/>
        <w:spacing w:before="120" w:after="120" w:line="240" w:lineRule="auto"/>
        <w:ind w:left="-284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Барлакского сельсовета является сельским поселением. Территория поселения входит в состав Мошковского района Новосибирской области. Территорию поселения составляют исторически сложившиеся земли населенных</w:t>
      </w:r>
      <w:r w:rsidRPr="00020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пунктов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п. Октябрьский,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Локти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, с.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Барлак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 Барлак,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традиционного природопользования населения поселения, рекреационные земли, земли для развития поселения. В состав территории сельского поселения входят земли независимо от форм собственности и целевого назначения. Административным центром поселения является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п. Октябрьский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ar-SA"/>
        </w:rPr>
        <w:t>Барлакский сельсовет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  расположен в </w:t>
      </w:r>
      <w:r w:rsidR="003E039E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северо-восточной части области в 40 км от административного центра и 20 км от г. Новосибирска.  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Площадь территории сельсовета  </w:t>
      </w:r>
      <w:r w:rsidR="00B81939" w:rsidRPr="00020FBD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DA41CE">
        <w:rPr>
          <w:rFonts w:ascii="Times New Roman" w:eastAsia="Times New Roman" w:hAnsi="Times New Roman"/>
          <w:sz w:val="24"/>
          <w:szCs w:val="24"/>
          <w:lang w:eastAsia="ar-SA"/>
        </w:rPr>
        <w:t>312</w:t>
      </w:r>
      <w:r w:rsidR="00B81939"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га. </w:t>
      </w:r>
    </w:p>
    <w:p w:rsidR="00C848EF" w:rsidRPr="00020FBD" w:rsidRDefault="005B4384" w:rsidP="007D75EF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Численность населения на </w:t>
      </w:r>
      <w:r w:rsidR="00F32924"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01.01.2022</w:t>
      </w:r>
      <w:r w:rsidR="00C55E81"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г.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составила </w:t>
      </w:r>
      <w:r w:rsidR="00F32924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4942 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человек</w:t>
      </w:r>
      <w:r w:rsidR="00F819DC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5C4D8C"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(</w:t>
      </w:r>
      <w:r w:rsidR="005C4D8C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2020 году – 4698 </w:t>
      </w:r>
      <w:proofErr w:type="gramStart"/>
      <w:r w:rsidR="005C4D8C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</w:t>
      </w:r>
      <w:proofErr w:type="gramEnd"/>
      <w:r w:rsidR="005C4D8C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D62361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, из них в поселок 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Октябрьский </w:t>
      </w:r>
      <w:r w:rsidR="00292DCA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2924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4128</w:t>
      </w:r>
      <w:r w:rsidR="00292DCA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</w:t>
      </w:r>
      <w:r w:rsidR="00D6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7523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(2020 г. – 3880 чел)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село Барлак - </w:t>
      </w:r>
      <w:r w:rsidR="00F32924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470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9E3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380B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(2020 г. – 474 чел)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село Локти- </w:t>
      </w:r>
      <w:r w:rsidR="00F32924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="00C55E81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человек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Остановочная </w:t>
      </w:r>
      <w:r w:rsidR="00F32924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Платформа Барлак - 59</w:t>
      </w:r>
      <w:r w:rsidR="00C55E81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96F0B" w:rsidRPr="00020FBD" w:rsidRDefault="00F96F0B" w:rsidP="007D75EF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9BBB59"/>
          <w:sz w:val="24"/>
          <w:szCs w:val="24"/>
          <w:lang w:eastAsia="ru-RU"/>
        </w:rPr>
      </w:pP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демографической ситуации в поселении совпадает с тенденциями демографического развития района. </w:t>
      </w:r>
      <w:r w:rsidR="00EE6EAB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Детальная информация о естественном и миграционном приросте/убыли населения не поступала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0FBD" w:rsidRPr="00020FBD" w:rsidRDefault="00020FBD" w:rsidP="007D75EF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В системе образования поселения действуют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 три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дошкольных образовательных учреждения – МКДОУ Октябрьский детский сад «Колокольчик» 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(135 воспитанников),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МКДОУ Октябрьский детский сад «</w:t>
      </w:r>
      <w:proofErr w:type="spellStart"/>
      <w:r w:rsidRPr="00020FBD">
        <w:rPr>
          <w:rFonts w:ascii="Times New Roman" w:hAnsi="Times New Roman" w:cs="Times New Roman"/>
          <w:sz w:val="24"/>
          <w:szCs w:val="24"/>
          <w:lang w:eastAsia="x-none"/>
        </w:rPr>
        <w:t>Журавушка</w:t>
      </w:r>
      <w:proofErr w:type="spellEnd"/>
      <w:r w:rsidRPr="00020FBD">
        <w:rPr>
          <w:rFonts w:ascii="Times New Roman" w:hAnsi="Times New Roman" w:cs="Times New Roman"/>
          <w:sz w:val="24"/>
          <w:szCs w:val="24"/>
          <w:lang w:eastAsia="x-none"/>
        </w:rPr>
        <w:t>»</w:t>
      </w:r>
      <w:bookmarkStart w:id="0" w:name="_GoBack"/>
      <w:bookmarkEnd w:id="0"/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( 150 воспитанников)  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и МКДОУ Октябрьский детский сад «Светлячок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» (299 воспитанников)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Всего детей, охваченных дошкольной образовательной услугой 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584 детей дошкольного возраста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7D75EF" w:rsidRDefault="00020FBD" w:rsidP="007D75EF">
      <w:pPr>
        <w:suppressAutoHyphens/>
        <w:spacing w:line="240" w:lineRule="auto"/>
        <w:ind w:firstLine="880"/>
        <w:jc w:val="both"/>
        <w:rPr>
          <w:rFonts w:ascii="Times New Roman" w:hAnsi="Times New Roman"/>
          <w:sz w:val="24"/>
          <w:szCs w:val="24"/>
        </w:rPr>
      </w:pPr>
      <w:r w:rsidRPr="00020FBD">
        <w:rPr>
          <w:rFonts w:ascii="Times New Roman" w:hAnsi="Times New Roman"/>
          <w:sz w:val="24"/>
          <w:szCs w:val="24"/>
        </w:rPr>
        <w:t>В настоящее время на территории Барлакского сельсовета расположены два образовательных учреждения – МКОУ Октябрьская СОШ и МКОУ Октябрьская СОШ № 2, реализующее программы начального общего, основного общего и среднего общего образования.</w:t>
      </w:r>
      <w:r w:rsidRPr="00020FB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20FBD">
        <w:rPr>
          <w:rFonts w:ascii="Times New Roman" w:hAnsi="Times New Roman"/>
          <w:sz w:val="24"/>
          <w:szCs w:val="24"/>
        </w:rPr>
        <w:t xml:space="preserve">К </w:t>
      </w:r>
      <w:r w:rsidRPr="00020FBD">
        <w:rPr>
          <w:rFonts w:ascii="Times New Roman" w:hAnsi="Times New Roman"/>
          <w:sz w:val="24"/>
          <w:szCs w:val="24"/>
          <w:lang w:eastAsia="zh-CN"/>
        </w:rPr>
        <w:t xml:space="preserve">МКОУ </w:t>
      </w:r>
      <w:r w:rsidRPr="00020FBD">
        <w:rPr>
          <w:rFonts w:ascii="Times New Roman" w:hAnsi="Times New Roman"/>
          <w:sz w:val="24"/>
          <w:szCs w:val="24"/>
        </w:rPr>
        <w:t>Октябрьской СОШ присоединено в качестве структурного подразделения (на</w:t>
      </w:r>
      <w:r w:rsidR="00066FE6">
        <w:rPr>
          <w:rFonts w:ascii="Times New Roman" w:hAnsi="Times New Roman"/>
          <w:sz w:val="24"/>
          <w:szCs w:val="24"/>
        </w:rPr>
        <w:t xml:space="preserve">чальные классы) Локтинская ООШ </w:t>
      </w:r>
      <w:r w:rsidRPr="00020FBD">
        <w:rPr>
          <w:rFonts w:ascii="Times New Roman" w:hAnsi="Times New Roman"/>
          <w:sz w:val="24"/>
          <w:szCs w:val="24"/>
        </w:rPr>
        <w:t xml:space="preserve">в с. Локти. Структурное подразделение в с.Барлак закрыто на капитальный ремонт. МКОУ «Октябрьская СОШ» </w:t>
      </w:r>
      <w:r w:rsidR="00423086">
        <w:rPr>
          <w:rFonts w:ascii="Times New Roman" w:hAnsi="Times New Roman"/>
          <w:sz w:val="24"/>
          <w:szCs w:val="24"/>
        </w:rPr>
        <w:t xml:space="preserve">была </w:t>
      </w:r>
      <w:r w:rsidRPr="00020FBD">
        <w:rPr>
          <w:rFonts w:ascii="Times New Roman" w:hAnsi="Times New Roman"/>
          <w:sz w:val="24"/>
          <w:szCs w:val="24"/>
        </w:rPr>
        <w:t xml:space="preserve">закрыта на капитальный ремонт, </w:t>
      </w:r>
      <w:r w:rsidR="00423086">
        <w:rPr>
          <w:rFonts w:ascii="Times New Roman" w:hAnsi="Times New Roman"/>
          <w:sz w:val="24"/>
          <w:szCs w:val="24"/>
        </w:rPr>
        <w:t>с ноября 2022 начала работу в обычном режиме</w:t>
      </w:r>
      <w:r w:rsidRPr="00020FBD">
        <w:rPr>
          <w:rFonts w:ascii="Times New Roman" w:hAnsi="Times New Roman"/>
          <w:sz w:val="24"/>
          <w:szCs w:val="24"/>
        </w:rPr>
        <w:t>.</w:t>
      </w:r>
    </w:p>
    <w:p w:rsidR="00020FBD" w:rsidRPr="00020FBD" w:rsidRDefault="00020FBD" w:rsidP="007D75EF">
      <w:pPr>
        <w:suppressAutoHyphens/>
        <w:spacing w:line="240" w:lineRule="auto"/>
        <w:ind w:firstLine="880"/>
        <w:jc w:val="both"/>
        <w:rPr>
          <w:rFonts w:ascii="Times New Roman" w:hAnsi="Times New Roman"/>
          <w:spacing w:val="-1"/>
          <w:kern w:val="65535"/>
          <w:position w:val="-1"/>
          <w:sz w:val="24"/>
          <w:szCs w:val="24"/>
        </w:rPr>
      </w:pPr>
      <w:r w:rsidRPr="00020FBD">
        <w:rPr>
          <w:rFonts w:ascii="Times New Roman" w:hAnsi="Times New Roman"/>
          <w:sz w:val="24"/>
          <w:szCs w:val="24"/>
          <w:lang w:eastAsia="zh-CN"/>
        </w:rPr>
        <w:t xml:space="preserve">В МКОУ Октябрьская СОШ в 2022 учебном году 352 обучающихся. Обучение обеспечено в здании МКОУ «Октябрьская СОШ № 2», ведётся в две смены.  </w:t>
      </w:r>
    </w:p>
    <w:p w:rsidR="00423086" w:rsidRDefault="00020FBD" w:rsidP="00423086">
      <w:pPr>
        <w:widowControl w:val="0"/>
        <w:spacing w:line="240" w:lineRule="auto"/>
        <w:ind w:firstLine="8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0FBD">
        <w:rPr>
          <w:rFonts w:ascii="Times New Roman" w:hAnsi="Times New Roman"/>
          <w:sz w:val="24"/>
          <w:szCs w:val="24"/>
          <w:lang w:eastAsia="zh-CN"/>
        </w:rPr>
        <w:t xml:space="preserve">В МКОУ Октябрьская СОШ № 2 в 2022 учебном году 865 обучающихся, при проектной мощности 500 человек. Обучение в образовательном учреждении ведётся в две смены. </w:t>
      </w:r>
    </w:p>
    <w:p w:rsidR="00020FBD" w:rsidRPr="00425C10" w:rsidRDefault="00020FBD" w:rsidP="00423086">
      <w:pPr>
        <w:widowControl w:val="0"/>
        <w:spacing w:line="240" w:lineRule="auto"/>
        <w:ind w:firstLine="880"/>
        <w:jc w:val="both"/>
        <w:rPr>
          <w:sz w:val="28"/>
          <w:szCs w:val="28"/>
        </w:rPr>
      </w:pPr>
      <w:r w:rsidRPr="00020FBD">
        <w:rPr>
          <w:rFonts w:ascii="Times New Roman" w:hAnsi="Times New Roman"/>
          <w:sz w:val="24"/>
          <w:szCs w:val="24"/>
        </w:rPr>
        <w:t>Многодетных</w:t>
      </w:r>
      <w:r w:rsidRPr="00020FBD">
        <w:rPr>
          <w:rFonts w:ascii="Times New Roman" w:hAnsi="Times New Roman"/>
          <w:i/>
          <w:sz w:val="24"/>
          <w:szCs w:val="24"/>
        </w:rPr>
        <w:t xml:space="preserve"> </w:t>
      </w:r>
      <w:r w:rsidRPr="00020FBD">
        <w:rPr>
          <w:rFonts w:ascii="Times New Roman" w:hAnsi="Times New Roman"/>
          <w:sz w:val="24"/>
          <w:szCs w:val="24"/>
        </w:rPr>
        <w:t xml:space="preserve">состоящих на учете </w:t>
      </w:r>
      <w:r w:rsidR="00423086">
        <w:rPr>
          <w:rFonts w:ascii="Times New Roman" w:hAnsi="Times New Roman"/>
          <w:sz w:val="24"/>
          <w:szCs w:val="24"/>
        </w:rPr>
        <w:t>29</w:t>
      </w:r>
      <w:r w:rsidRPr="00020FBD">
        <w:rPr>
          <w:rFonts w:ascii="Times New Roman" w:hAnsi="Times New Roman"/>
          <w:sz w:val="24"/>
          <w:szCs w:val="24"/>
        </w:rPr>
        <w:t xml:space="preserve"> семей, из них  </w:t>
      </w:r>
      <w:r w:rsidR="00423086">
        <w:rPr>
          <w:rFonts w:ascii="Times New Roman" w:hAnsi="Times New Roman"/>
          <w:sz w:val="24"/>
          <w:szCs w:val="24"/>
        </w:rPr>
        <w:t>233</w:t>
      </w:r>
      <w:r w:rsidRPr="00020FBD">
        <w:rPr>
          <w:rFonts w:ascii="Times New Roman" w:hAnsi="Times New Roman"/>
          <w:sz w:val="24"/>
          <w:szCs w:val="24"/>
        </w:rPr>
        <w:t xml:space="preserve"> детей.</w:t>
      </w:r>
      <w:r w:rsidRPr="00425C10">
        <w:rPr>
          <w:sz w:val="28"/>
          <w:szCs w:val="28"/>
        </w:rPr>
        <w:t xml:space="preserve"> </w:t>
      </w:r>
    </w:p>
    <w:p w:rsidR="004022A6" w:rsidRDefault="004022A6" w:rsidP="007D75EF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66D" w:rsidRPr="004F19BB" w:rsidRDefault="009E3EF5" w:rsidP="004F19BB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4F19BB">
        <w:rPr>
          <w:rFonts w:ascii="Times New Roman" w:hAnsi="Times New Roman"/>
          <w:b/>
          <w:sz w:val="24"/>
          <w:szCs w:val="24"/>
        </w:rPr>
        <w:t>Учреждения и предприятия</w:t>
      </w:r>
    </w:p>
    <w:p w:rsidR="004022A6" w:rsidRPr="004F19BB" w:rsidRDefault="004022A6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5EF" w:rsidRPr="007D75EF" w:rsidRDefault="007D75EF" w:rsidP="007D75EF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 xml:space="preserve">На территории муниципального образования работает </w:t>
      </w:r>
      <w:r w:rsidR="00644FE1">
        <w:rPr>
          <w:rFonts w:ascii="Times New Roman" w:hAnsi="Times New Roman"/>
          <w:spacing w:val="-2"/>
          <w:sz w:val="24"/>
          <w:szCs w:val="24"/>
        </w:rPr>
        <w:t>около 50</w:t>
      </w: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D75EF">
        <w:rPr>
          <w:rFonts w:ascii="Times New Roman" w:hAnsi="Times New Roman"/>
          <w:color w:val="000000"/>
          <w:sz w:val="24"/>
          <w:szCs w:val="24"/>
        </w:rPr>
        <w:t xml:space="preserve">торговых точек (магазины, </w:t>
      </w:r>
      <w:proofErr w:type="spellStart"/>
      <w:r w:rsidRPr="007D75EF">
        <w:rPr>
          <w:rFonts w:ascii="Times New Roman" w:hAnsi="Times New Roman"/>
          <w:color w:val="000000"/>
          <w:sz w:val="24"/>
          <w:szCs w:val="24"/>
        </w:rPr>
        <w:t>минимаркеты</w:t>
      </w:r>
      <w:proofErr w:type="spellEnd"/>
      <w:r w:rsidR="00644FE1">
        <w:rPr>
          <w:rFonts w:ascii="Times New Roman" w:hAnsi="Times New Roman"/>
          <w:color w:val="000000"/>
          <w:sz w:val="24"/>
          <w:szCs w:val="24"/>
        </w:rPr>
        <w:t>,</w:t>
      </w:r>
      <w:r w:rsidRPr="007D75EF">
        <w:rPr>
          <w:rFonts w:ascii="Times New Roman" w:hAnsi="Times New Roman"/>
          <w:color w:val="000000"/>
          <w:sz w:val="24"/>
          <w:szCs w:val="24"/>
        </w:rPr>
        <w:t xml:space="preserve"> павильоны)</w:t>
      </w: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>. Большее развитие торговых точек происходит в жилом районе Светлый п.Октябрьский.</w:t>
      </w:r>
    </w:p>
    <w:p w:rsidR="007D75EF" w:rsidRPr="007D75EF" w:rsidRDefault="007D75EF" w:rsidP="007D75EF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Доля предприятий частной формы собственности составляет 100 %.</w:t>
      </w:r>
    </w:p>
    <w:p w:rsidR="007D766D" w:rsidRPr="004F19BB" w:rsidRDefault="007D766D" w:rsidP="004F19BB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4F19BB">
        <w:rPr>
          <w:rFonts w:ascii="Times New Roman" w:eastAsia="Times New Roman" w:hAnsi="Times New Roman"/>
          <w:bCs/>
          <w:color w:val="1E1E1E"/>
          <w:sz w:val="24"/>
          <w:szCs w:val="24"/>
          <w:lang w:eastAsia="ru-RU"/>
        </w:rPr>
        <w:t>Налоговая политика </w:t>
      </w:r>
      <w:r w:rsidRPr="004F19B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Доходы бюджета населенных пунктов Барлакского сельсовета Мошковского района Новосибирской области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Новосибирской области. 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земельного налога – по нормативу 100 процентов;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налога на имущество физических лиц – по нормативу 100 процентов.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налога на доходы физических лиц – по нормативу 10 процентов;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единого сельскохозяйственного налога – по нормативу 30 процентов.</w:t>
      </w:r>
    </w:p>
    <w:p w:rsidR="0050514B" w:rsidRDefault="0050514B" w:rsidP="004C5ED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5EDB" w:rsidRPr="004C5EDB" w:rsidRDefault="004C5EDB" w:rsidP="004C5ED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5EDB">
        <w:rPr>
          <w:rFonts w:ascii="Times New Roman" w:hAnsi="Times New Roman"/>
          <w:b/>
          <w:color w:val="000000"/>
          <w:sz w:val="24"/>
          <w:szCs w:val="24"/>
        </w:rPr>
        <w:t>Экономика и финансы</w:t>
      </w:r>
    </w:p>
    <w:p w:rsidR="004C5EDB" w:rsidRPr="004C5EDB" w:rsidRDefault="004C5EDB" w:rsidP="004C5E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EDB" w:rsidRPr="004C5EDB" w:rsidRDefault="00904B87" w:rsidP="00605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Доходная часть бюджета администрации Барлакского сельсовета на 2022 год сформирована согласно Закона Новосибирской области «Об областном бюджете Новосибирской области на 2022 год», и в соответствии с нормативами установленными Бюджетным кодексом РФ. При формировании доходной части бюджета были использованы положения Федерального закона от 19.12.2005г №159-ФЗ «О внесении изменений в Бюджетный кодекс Р</w:t>
      </w:r>
      <w:r w:rsidR="006057A6">
        <w:rPr>
          <w:rFonts w:ascii="Times New Roman" w:hAnsi="Times New Roman"/>
          <w:sz w:val="24"/>
          <w:szCs w:val="24"/>
        </w:rPr>
        <w:t>Ф». Доходная часть бюджета администрации Барлакского сельсовета за 12 месяцев 2022 года состоит на 42,1% из безвозмездных поступлений, 59,3% - составляют собственные доходы, в доходах налоговые поступления составляют 47,6%; неналоговые – 52,4%; предпринимательская деятельность – 0.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8"/>
        <w:gridCol w:w="1547"/>
        <w:gridCol w:w="1531"/>
      </w:tblGrid>
      <w:tr w:rsidR="004C5EDB" w:rsidRPr="004C5EDB" w:rsidTr="004C5EDB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Годовой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Дотации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D63861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6136600,00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6136600</w:t>
            </w:r>
            <w:r w:rsidR="00D6386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4C5EDB" w:rsidRPr="004C5EDB" w:rsidTr="004C5EDB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D63861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6136600,00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6136600</w:t>
            </w:r>
            <w:r w:rsidR="00D6386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3861">
              <w:rPr>
                <w:rFonts w:ascii="Times New Roman" w:hAnsi="Times New Roman"/>
                <w:b/>
                <w:sz w:val="24"/>
                <w:szCs w:val="24"/>
              </w:rPr>
              <w:t>02900</w:t>
            </w:r>
            <w:r w:rsidR="004C5EDB" w:rsidRPr="004C5ED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202900</w:t>
            </w:r>
            <w:r w:rsidR="004C5EDB" w:rsidRPr="004C5ED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4C5EDB" w:rsidRPr="004C5EDB" w:rsidTr="004C5EDB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FA7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</w:t>
            </w:r>
            <w:r w:rsidR="00FA798C">
              <w:rPr>
                <w:rFonts w:ascii="Times New Roman" w:hAnsi="Times New Roman"/>
                <w:sz w:val="24"/>
                <w:szCs w:val="24"/>
              </w:rPr>
              <w:t>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3861">
              <w:rPr>
                <w:rFonts w:ascii="Times New Roman" w:hAnsi="Times New Roman"/>
                <w:sz w:val="24"/>
                <w:szCs w:val="24"/>
              </w:rPr>
              <w:t>02800</w:t>
            </w:r>
            <w:r w:rsidR="004C5EDB" w:rsidRPr="004C5E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202800</w:t>
            </w:r>
            <w:r w:rsidR="004C5EDB" w:rsidRPr="004C5E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5EDB" w:rsidRPr="004C5EDB" w:rsidTr="004C5EDB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7727369,94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7549649,30</w:t>
            </w:r>
          </w:p>
        </w:tc>
      </w:tr>
      <w:tr w:rsidR="004C5EDB" w:rsidRPr="004C5EDB" w:rsidTr="004C5EDB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7727369,94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7549649,30</w:t>
            </w:r>
          </w:p>
        </w:tc>
      </w:tr>
      <w:tr w:rsidR="004C5EDB" w:rsidRPr="004C5EDB" w:rsidTr="004C5EDB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3496758,00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71E76" w:rsidP="00FA7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3496758,00</w:t>
            </w:r>
          </w:p>
        </w:tc>
      </w:tr>
      <w:tr w:rsidR="004C5EDB" w:rsidRPr="004C5EDB" w:rsidTr="004C5ED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4C5EDB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4C5EDB">
              <w:rPr>
                <w:rFonts w:ascii="Times New Roman" w:hAnsi="Times New Roman"/>
                <w:sz w:val="24"/>
                <w:szCs w:val="24"/>
              </w:rPr>
              <w:t>.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2635100,00</w:t>
            </w:r>
          </w:p>
        </w:tc>
      </w:tr>
      <w:tr w:rsidR="004C5EDB" w:rsidRPr="004C5EDB" w:rsidTr="004C5ED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861658,00</w:t>
            </w:r>
          </w:p>
        </w:tc>
      </w:tr>
      <w:tr w:rsidR="004C5EDB" w:rsidRPr="004C5EDB" w:rsidTr="004C5EDB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FA798C" w:rsidRDefault="00FA798C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98C">
              <w:rPr>
                <w:rFonts w:ascii="Times New Roman" w:hAnsi="Times New Roman"/>
                <w:b/>
                <w:sz w:val="24"/>
                <w:szCs w:val="24"/>
              </w:rPr>
              <w:t>Возврат прочих остатков субсидий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-9901,13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Финансовая помощь,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17475827,94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10365428,60</w:t>
            </w:r>
          </w:p>
        </w:tc>
      </w:tr>
    </w:tbl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EDB">
        <w:rPr>
          <w:rFonts w:ascii="Times New Roman" w:hAnsi="Times New Roman"/>
          <w:sz w:val="24"/>
          <w:szCs w:val="24"/>
        </w:rPr>
        <w:t xml:space="preserve">    </w:t>
      </w:r>
      <w:r w:rsidRPr="004C5EDB">
        <w:rPr>
          <w:rFonts w:ascii="Times New Roman" w:hAnsi="Times New Roman"/>
          <w:b/>
          <w:sz w:val="24"/>
          <w:szCs w:val="24"/>
        </w:rPr>
        <w:t>В 202</w:t>
      </w:r>
      <w:r w:rsidR="00D63861">
        <w:rPr>
          <w:rFonts w:ascii="Times New Roman" w:hAnsi="Times New Roman"/>
          <w:b/>
          <w:sz w:val="24"/>
          <w:szCs w:val="24"/>
        </w:rPr>
        <w:t>2</w:t>
      </w:r>
      <w:r w:rsidRPr="004C5EDB">
        <w:rPr>
          <w:rFonts w:ascii="Times New Roman" w:hAnsi="Times New Roman"/>
          <w:b/>
          <w:sz w:val="24"/>
          <w:szCs w:val="24"/>
        </w:rPr>
        <w:t xml:space="preserve"> году в связи с передачей отдельных государственных полномочий 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EDB">
        <w:rPr>
          <w:rFonts w:ascii="Times New Roman" w:hAnsi="Times New Roman"/>
          <w:b/>
          <w:sz w:val="24"/>
          <w:szCs w:val="24"/>
        </w:rPr>
        <w:t>выделялись денежные средства на следующие цели: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1828"/>
        <w:gridCol w:w="1655"/>
      </w:tblGrid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AD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Субвенция бюджетам сельских поселений </w:t>
            </w:r>
            <w:r w:rsidR="00AD12FD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202800</w:t>
            </w:r>
            <w:r w:rsidR="00AD12F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202800</w:t>
            </w:r>
            <w:r w:rsidR="00AD12F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D12FD">
              <w:rPr>
                <w:rFonts w:ascii="Times New Roman" w:hAnsi="Times New Roman"/>
                <w:b/>
                <w:sz w:val="24"/>
                <w:szCs w:val="24"/>
              </w:rPr>
              <w:t>2800,00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202800</w:t>
            </w:r>
            <w:r w:rsidR="00AD12F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4C5EDB" w:rsidRPr="004C5EDB" w:rsidRDefault="004C5EDB" w:rsidP="004C5EDB">
      <w:pPr>
        <w:widowControl w:val="0"/>
        <w:tabs>
          <w:tab w:val="left" w:leader="underscore" w:pos="6408"/>
          <w:tab w:val="left" w:leader="underscore" w:pos="701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95"/>
        <w:gridCol w:w="1602"/>
        <w:gridCol w:w="1476"/>
        <w:gridCol w:w="1460"/>
        <w:gridCol w:w="1194"/>
      </w:tblGrid>
      <w:tr w:rsidR="004C5EDB" w:rsidRPr="004C5EDB" w:rsidTr="004C5EDB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904B87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6053">
              <w:rPr>
                <w:rFonts w:ascii="Times New Roman" w:hAnsi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904B87" w:rsidRDefault="004C5EDB" w:rsidP="00A63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053">
              <w:rPr>
                <w:rFonts w:ascii="Times New Roman" w:hAnsi="Times New Roman"/>
                <w:sz w:val="24"/>
                <w:szCs w:val="24"/>
              </w:rPr>
              <w:t>Назначено по бюджету за 202</w:t>
            </w:r>
            <w:r w:rsidR="00A63070" w:rsidRPr="008A6053">
              <w:rPr>
                <w:rFonts w:ascii="Times New Roman" w:hAnsi="Times New Roman"/>
                <w:sz w:val="24"/>
                <w:szCs w:val="24"/>
              </w:rPr>
              <w:t>2</w:t>
            </w:r>
            <w:r w:rsidRPr="008A60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C5EDB" w:rsidRPr="00442CE2" w:rsidRDefault="00265D2E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CE2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442CE2">
              <w:rPr>
                <w:rFonts w:ascii="Times New Roman" w:hAnsi="Times New Roman"/>
                <w:sz w:val="24"/>
                <w:szCs w:val="24"/>
              </w:rPr>
              <w:t>. за 4 кв.2022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C5EDB" w:rsidRPr="004C5EDB" w:rsidTr="004C5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265D2E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за 4 кв.2021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265D2E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за 4 кв. 2022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отклонения (+, -)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 собственных доходов (налоговые и неналоговые)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23653,9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18056,0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24453,7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6397,7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103,4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</w:t>
            </w:r>
            <w:r w:rsidR="00F26D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</w:t>
            </w:r>
            <w:r w:rsidR="00B46D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471E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3438,5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9404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</w:t>
            </w:r>
          </w:p>
        </w:tc>
      </w:tr>
      <w:tr w:rsidR="00F26DFF" w:rsidRPr="004C5EDB" w:rsidTr="00B46D6A">
        <w:trPr>
          <w:trHeight w:val="4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2318,1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2513,3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</w:tr>
      <w:tr w:rsidR="00F26DFF" w:rsidRPr="004C5EDB" w:rsidTr="00B46D6A">
        <w:trPr>
          <w:trHeight w:val="34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B46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3882,9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10672,4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3899,1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11585E" w:rsidP="00471E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1E76">
              <w:rPr>
                <w:rFonts w:ascii="Times New Roman" w:hAnsi="Times New Roman"/>
                <w:sz w:val="24"/>
                <w:szCs w:val="24"/>
              </w:rPr>
              <w:t>6773,3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F26DFF" w:rsidRPr="004C5EDB" w:rsidTr="00B46D6A">
        <w:trPr>
          <w:trHeight w:val="4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Единый с/х налог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71E76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471E76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12668,8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1549,7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644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12810,1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11260,4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9404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101,1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1. доходы от использования имущества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12619,8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12757,4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2. доходы ,поступающие в порядке возмещения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Pr="004C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3.доходы от продажи материальных и нематериальных активов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92ED2" w:rsidP="00A630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11678,8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11678,8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11368,8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4.доходы от оказания платных услуг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5.административные штрафы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A63070" w:rsidRPr="004C5EDB" w:rsidTr="004C5ED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8A6053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53">
              <w:rPr>
                <w:rFonts w:ascii="Times New Roman" w:hAnsi="Times New Roman"/>
                <w:sz w:val="24"/>
                <w:szCs w:val="24"/>
              </w:rPr>
              <w:t>6. прочие доходы от компенсации затрат бюджетов сельских поселений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8A6053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605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F92ED2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23653,9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18056,0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24453,7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6397,7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92ED2" w:rsidP="00442C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103,4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17563,6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92ED2" w:rsidP="004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13413,2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17385,9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9404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98,9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8A6053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Доходы от возврата остатков субсидий, МБТ прошлых лет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8A6053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B46D6A" w:rsidP="004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31487,3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41829,7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42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10342,4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F92ED2" w:rsidP="004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101,4</w:t>
            </w:r>
          </w:p>
        </w:tc>
      </w:tr>
    </w:tbl>
    <w:p w:rsidR="004C5EDB" w:rsidRPr="004C5EDB" w:rsidRDefault="004C5EDB" w:rsidP="004C5ED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4C5EDB" w:rsidRDefault="004C5EDB" w:rsidP="004C5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EDB">
        <w:rPr>
          <w:rFonts w:ascii="Times New Roman" w:hAnsi="Times New Roman"/>
          <w:sz w:val="24"/>
          <w:szCs w:val="24"/>
        </w:rPr>
        <w:t>В сравнении с аналогичным периодом 202</w:t>
      </w:r>
      <w:r w:rsidR="005263D0">
        <w:rPr>
          <w:rFonts w:ascii="Times New Roman" w:hAnsi="Times New Roman"/>
          <w:sz w:val="24"/>
          <w:szCs w:val="24"/>
        </w:rPr>
        <w:t>1</w:t>
      </w:r>
      <w:r w:rsidRPr="004C5EDB">
        <w:rPr>
          <w:rFonts w:ascii="Times New Roman" w:hAnsi="Times New Roman"/>
          <w:sz w:val="24"/>
          <w:szCs w:val="24"/>
        </w:rPr>
        <w:t xml:space="preserve"> года общая сумма доходов в 202</w:t>
      </w:r>
      <w:r w:rsidR="005263D0">
        <w:rPr>
          <w:rFonts w:ascii="Times New Roman" w:hAnsi="Times New Roman"/>
          <w:sz w:val="24"/>
          <w:szCs w:val="24"/>
        </w:rPr>
        <w:t>2</w:t>
      </w:r>
      <w:r w:rsidRPr="004C5EDB">
        <w:rPr>
          <w:rFonts w:ascii="Times New Roman" w:hAnsi="Times New Roman"/>
          <w:sz w:val="24"/>
          <w:szCs w:val="24"/>
        </w:rPr>
        <w:t xml:space="preserve"> году увеличилась  на </w:t>
      </w:r>
      <w:r w:rsidR="00F92ED2">
        <w:rPr>
          <w:rFonts w:ascii="Times New Roman" w:hAnsi="Times New Roman"/>
          <w:sz w:val="24"/>
          <w:szCs w:val="24"/>
        </w:rPr>
        <w:t>10342,4</w:t>
      </w:r>
      <w:r w:rsidRPr="004C5EDB">
        <w:rPr>
          <w:rFonts w:ascii="Times New Roman" w:hAnsi="Times New Roman"/>
          <w:sz w:val="24"/>
          <w:szCs w:val="24"/>
        </w:rPr>
        <w:t xml:space="preserve"> тыс. руб</w:t>
      </w:r>
      <w:r w:rsidR="005263D0">
        <w:rPr>
          <w:rFonts w:ascii="Times New Roman" w:hAnsi="Times New Roman"/>
          <w:sz w:val="24"/>
          <w:szCs w:val="24"/>
        </w:rPr>
        <w:t>.</w:t>
      </w:r>
      <w:r w:rsidR="00F92ED2">
        <w:rPr>
          <w:rFonts w:ascii="Times New Roman" w:hAnsi="Times New Roman"/>
          <w:sz w:val="24"/>
          <w:szCs w:val="24"/>
        </w:rPr>
        <w:t xml:space="preserve"> в связи с продажей земельных участков</w:t>
      </w:r>
      <w:r w:rsidR="001E3568">
        <w:rPr>
          <w:rFonts w:ascii="Times New Roman" w:hAnsi="Times New Roman"/>
          <w:sz w:val="24"/>
          <w:szCs w:val="24"/>
        </w:rPr>
        <w:t>, находящихся в собственности сельских поселений, дополнительным финансированием.</w:t>
      </w:r>
    </w:p>
    <w:p w:rsidR="001E3568" w:rsidRDefault="001E3568" w:rsidP="004C5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 на доходы физических лиц при плане 3105,0 рублей поступило 3438,5 рублей или 110,7% выполнен, в связи со своевременной уплатой налога.</w:t>
      </w:r>
    </w:p>
    <w:p w:rsidR="00A5164F" w:rsidRPr="00A5164F" w:rsidRDefault="00A5164F" w:rsidP="00A51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64F">
        <w:rPr>
          <w:rFonts w:ascii="Times New Roman" w:hAnsi="Times New Roman"/>
          <w:sz w:val="24"/>
          <w:szCs w:val="24"/>
        </w:rPr>
        <w:t xml:space="preserve">По состоянию на </w:t>
      </w:r>
      <w:r w:rsidR="001E3568">
        <w:rPr>
          <w:rFonts w:ascii="Times New Roman" w:hAnsi="Times New Roman"/>
          <w:sz w:val="24"/>
          <w:szCs w:val="24"/>
        </w:rPr>
        <w:t>31.12.2022</w:t>
      </w:r>
      <w:r w:rsidRPr="005263D0">
        <w:rPr>
          <w:rFonts w:ascii="Times New Roman" w:hAnsi="Times New Roman"/>
          <w:sz w:val="24"/>
          <w:szCs w:val="24"/>
        </w:rPr>
        <w:t xml:space="preserve"> г. задолженности</w:t>
      </w:r>
      <w:r w:rsidRPr="00A5164F">
        <w:rPr>
          <w:rFonts w:ascii="Times New Roman" w:hAnsi="Times New Roman"/>
          <w:sz w:val="24"/>
          <w:szCs w:val="24"/>
        </w:rPr>
        <w:t xml:space="preserve"> по заработной плате р</w:t>
      </w:r>
      <w:r>
        <w:rPr>
          <w:rFonts w:ascii="Times New Roman" w:hAnsi="Times New Roman"/>
          <w:sz w:val="24"/>
          <w:szCs w:val="24"/>
        </w:rPr>
        <w:t>аботникам  бюджетной сферы нет.</w:t>
      </w:r>
    </w:p>
    <w:p w:rsidR="00A5164F" w:rsidRPr="004C5EDB" w:rsidRDefault="00A5164F" w:rsidP="00A51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64F">
        <w:rPr>
          <w:rFonts w:ascii="Times New Roman" w:hAnsi="Times New Roman"/>
          <w:sz w:val="24"/>
          <w:szCs w:val="24"/>
        </w:rPr>
        <w:t>В 202</w:t>
      </w:r>
      <w:r w:rsidR="005263D0">
        <w:rPr>
          <w:rFonts w:ascii="Times New Roman" w:hAnsi="Times New Roman"/>
          <w:sz w:val="24"/>
          <w:szCs w:val="24"/>
        </w:rPr>
        <w:t>2</w:t>
      </w:r>
      <w:r w:rsidRPr="00A5164F">
        <w:rPr>
          <w:rFonts w:ascii="Times New Roman" w:hAnsi="Times New Roman"/>
          <w:sz w:val="24"/>
          <w:szCs w:val="24"/>
        </w:rPr>
        <w:t xml:space="preserve"> году </w:t>
      </w:r>
      <w:r w:rsidRPr="00A11F45">
        <w:rPr>
          <w:rFonts w:ascii="Times New Roman" w:hAnsi="Times New Roman"/>
          <w:sz w:val="24"/>
          <w:szCs w:val="24"/>
        </w:rPr>
        <w:t xml:space="preserve">проведено </w:t>
      </w:r>
      <w:r w:rsidR="000C410A">
        <w:rPr>
          <w:rFonts w:ascii="Times New Roman" w:hAnsi="Times New Roman"/>
          <w:sz w:val="24"/>
          <w:szCs w:val="24"/>
        </w:rPr>
        <w:t>166</w:t>
      </w:r>
      <w:r w:rsidRPr="00A11F45">
        <w:rPr>
          <w:rFonts w:ascii="Times New Roman" w:hAnsi="Times New Roman"/>
          <w:sz w:val="24"/>
          <w:szCs w:val="24"/>
        </w:rPr>
        <w:t xml:space="preserve"> закупок на общую сумму </w:t>
      </w:r>
      <w:r w:rsidR="000C410A">
        <w:rPr>
          <w:rFonts w:ascii="Times New Roman" w:hAnsi="Times New Roman"/>
          <w:sz w:val="24"/>
          <w:szCs w:val="24"/>
        </w:rPr>
        <w:t xml:space="preserve">32 987,210 </w:t>
      </w:r>
      <w:proofErr w:type="spellStart"/>
      <w:r w:rsidR="000C410A">
        <w:rPr>
          <w:rFonts w:ascii="Times New Roman" w:hAnsi="Times New Roman"/>
          <w:sz w:val="24"/>
          <w:szCs w:val="24"/>
        </w:rPr>
        <w:t>тыс.руб</w:t>
      </w:r>
      <w:proofErr w:type="spellEnd"/>
      <w:r w:rsidRPr="00A11F45">
        <w:rPr>
          <w:rFonts w:ascii="Times New Roman" w:hAnsi="Times New Roman"/>
          <w:sz w:val="24"/>
          <w:szCs w:val="24"/>
        </w:rPr>
        <w:t>.</w:t>
      </w:r>
      <w:r w:rsidRPr="00A5164F">
        <w:rPr>
          <w:rFonts w:ascii="Times New Roman" w:hAnsi="Times New Roman"/>
          <w:sz w:val="24"/>
          <w:szCs w:val="24"/>
        </w:rPr>
        <w:t xml:space="preserve">          </w:t>
      </w:r>
    </w:p>
    <w:p w:rsidR="007A556C" w:rsidRDefault="007A556C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3EF5" w:rsidRPr="004F19BB" w:rsidRDefault="00B57FFB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19BB">
        <w:rPr>
          <w:rFonts w:ascii="Times New Roman" w:eastAsia="Times New Roman" w:hAnsi="Times New Roman"/>
          <w:b/>
          <w:sz w:val="24"/>
          <w:szCs w:val="24"/>
        </w:rPr>
        <w:t>Строительство</w:t>
      </w:r>
      <w:r w:rsidRPr="004F19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19BB">
        <w:rPr>
          <w:rFonts w:ascii="Times New Roman" w:eastAsia="Times New Roman" w:hAnsi="Times New Roman"/>
          <w:b/>
          <w:sz w:val="24"/>
          <w:szCs w:val="24"/>
        </w:rPr>
        <w:t>индивидуального жилья</w:t>
      </w:r>
    </w:p>
    <w:p w:rsidR="00013D19" w:rsidRPr="004F19BB" w:rsidRDefault="00013D19" w:rsidP="004F19BB">
      <w:pPr>
        <w:pStyle w:val="ConsPlusNonformat"/>
        <w:ind w:lef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6215" w:rsidRPr="004F19BB" w:rsidRDefault="00013D19" w:rsidP="004F19B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B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E76215" w:rsidRPr="004F19B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4F19BB">
        <w:rPr>
          <w:rFonts w:ascii="Times New Roman" w:hAnsi="Times New Roman" w:cs="Times New Roman"/>
          <w:sz w:val="24"/>
          <w:szCs w:val="24"/>
        </w:rPr>
        <w:t xml:space="preserve">Барлакского сельсовета </w:t>
      </w:r>
      <w:r w:rsidR="00E76215" w:rsidRPr="004F19BB">
        <w:rPr>
          <w:rFonts w:ascii="Times New Roman" w:hAnsi="Times New Roman" w:cs="Times New Roman"/>
          <w:sz w:val="24"/>
          <w:szCs w:val="24"/>
        </w:rPr>
        <w:t>активно ведётся строительство</w:t>
      </w:r>
      <w:r w:rsidR="00AC43C3">
        <w:rPr>
          <w:rFonts w:ascii="Times New Roman" w:hAnsi="Times New Roman" w:cs="Times New Roman"/>
          <w:sz w:val="24"/>
          <w:szCs w:val="24"/>
        </w:rPr>
        <w:t xml:space="preserve"> индивидуального жилых и многоквартирных домов в</w:t>
      </w:r>
      <w:r w:rsidR="00E76215" w:rsidRPr="004F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215" w:rsidRPr="004F19BB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="00E76215" w:rsidRPr="004F19BB">
        <w:rPr>
          <w:rFonts w:ascii="Times New Roman" w:hAnsi="Times New Roman" w:cs="Times New Roman"/>
          <w:sz w:val="24"/>
          <w:szCs w:val="24"/>
        </w:rPr>
        <w:t>. «Светлый», коттеджных по</w:t>
      </w:r>
      <w:r w:rsidR="00AC43C3">
        <w:rPr>
          <w:rFonts w:ascii="Times New Roman" w:hAnsi="Times New Roman" w:cs="Times New Roman"/>
          <w:sz w:val="24"/>
          <w:szCs w:val="24"/>
        </w:rPr>
        <w:t>сёлков «Заречный» и «Рябиновый», «Крылатский», «Восточны</w:t>
      </w:r>
      <w:r w:rsidR="00715F08">
        <w:rPr>
          <w:rFonts w:ascii="Times New Roman" w:hAnsi="Times New Roman" w:cs="Times New Roman"/>
          <w:sz w:val="24"/>
          <w:szCs w:val="24"/>
        </w:rPr>
        <w:t>й</w:t>
      </w:r>
      <w:r w:rsidR="00AC43C3">
        <w:rPr>
          <w:rFonts w:ascii="Times New Roman" w:hAnsi="Times New Roman" w:cs="Times New Roman"/>
          <w:sz w:val="24"/>
          <w:szCs w:val="24"/>
        </w:rPr>
        <w:t>», «Деревня Мира», «Времена года».</w:t>
      </w:r>
    </w:p>
    <w:p w:rsidR="00103FFF" w:rsidRPr="004F19BB" w:rsidRDefault="004C5EDB" w:rsidP="007A556C">
      <w:pPr>
        <w:ind w:left="-284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5263D0">
        <w:rPr>
          <w:rFonts w:ascii="Times New Roman" w:hAnsi="Times New Roman"/>
          <w:sz w:val="24"/>
          <w:szCs w:val="24"/>
        </w:rPr>
        <w:t>2</w:t>
      </w:r>
      <w:r w:rsidR="002A4397" w:rsidRPr="004F19BB">
        <w:rPr>
          <w:rFonts w:ascii="Times New Roman" w:hAnsi="Times New Roman"/>
          <w:sz w:val="24"/>
          <w:szCs w:val="24"/>
        </w:rPr>
        <w:t xml:space="preserve"> году</w:t>
      </w:r>
      <w:r w:rsidR="002A4397" w:rsidRPr="004F19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A4397" w:rsidRPr="004F19BB">
        <w:rPr>
          <w:rFonts w:ascii="Times New Roman" w:hAnsi="Times New Roman"/>
          <w:sz w:val="24"/>
          <w:szCs w:val="24"/>
        </w:rPr>
        <w:t>введен</w:t>
      </w:r>
      <w:r w:rsidR="00910CE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9D3F48">
        <w:rPr>
          <w:rFonts w:ascii="Times New Roman" w:hAnsi="Times New Roman"/>
          <w:sz w:val="24"/>
          <w:szCs w:val="24"/>
        </w:rPr>
        <w:t>эксплуатацию</w:t>
      </w:r>
      <w:r w:rsidR="002A4397" w:rsidRPr="009D3F48">
        <w:rPr>
          <w:rFonts w:ascii="Times New Roman" w:hAnsi="Times New Roman"/>
          <w:sz w:val="24"/>
          <w:szCs w:val="24"/>
        </w:rPr>
        <w:t xml:space="preserve"> </w:t>
      </w:r>
      <w:r w:rsidR="005263D0" w:rsidRPr="009D3F48">
        <w:rPr>
          <w:rFonts w:ascii="Times New Roman" w:hAnsi="Times New Roman"/>
          <w:sz w:val="24"/>
          <w:szCs w:val="24"/>
        </w:rPr>
        <w:t>12</w:t>
      </w:r>
      <w:r w:rsidRPr="009D3F48">
        <w:rPr>
          <w:rFonts w:ascii="Times New Roman" w:hAnsi="Times New Roman"/>
          <w:sz w:val="24"/>
          <w:szCs w:val="24"/>
        </w:rPr>
        <w:t xml:space="preserve"> </w:t>
      </w:r>
      <w:r w:rsidR="00824D94" w:rsidRPr="009D3F48">
        <w:rPr>
          <w:rFonts w:ascii="Times New Roman" w:hAnsi="Times New Roman"/>
          <w:sz w:val="24"/>
          <w:szCs w:val="24"/>
        </w:rPr>
        <w:t>многоквартирных домов</w:t>
      </w:r>
      <w:r w:rsidRPr="009D3F48">
        <w:rPr>
          <w:rFonts w:ascii="Times New Roman" w:hAnsi="Times New Roman"/>
          <w:sz w:val="24"/>
          <w:szCs w:val="24"/>
        </w:rPr>
        <w:t>,</w:t>
      </w:r>
      <w:r w:rsidR="004C26C9" w:rsidRPr="009D3F48">
        <w:rPr>
          <w:rFonts w:ascii="Times New Roman" w:hAnsi="Times New Roman"/>
          <w:sz w:val="24"/>
          <w:szCs w:val="24"/>
        </w:rPr>
        <w:t xml:space="preserve"> </w:t>
      </w:r>
      <w:r w:rsidRPr="009D3F48">
        <w:rPr>
          <w:rFonts w:ascii="Times New Roman" w:hAnsi="Times New Roman"/>
          <w:sz w:val="24"/>
          <w:szCs w:val="24"/>
        </w:rPr>
        <w:t>индивидуаль</w:t>
      </w:r>
      <w:r w:rsidR="00AC43C3" w:rsidRPr="009D3F48">
        <w:rPr>
          <w:rFonts w:ascii="Times New Roman" w:hAnsi="Times New Roman"/>
          <w:sz w:val="24"/>
          <w:szCs w:val="24"/>
        </w:rPr>
        <w:t>ных жилых домов в количестве 72</w:t>
      </w:r>
      <w:r w:rsidRPr="009D3F48">
        <w:rPr>
          <w:rFonts w:ascii="Times New Roman" w:hAnsi="Times New Roman"/>
          <w:sz w:val="24"/>
          <w:szCs w:val="24"/>
        </w:rPr>
        <w:t xml:space="preserve"> </w:t>
      </w:r>
      <w:r w:rsidR="00824D94" w:rsidRPr="009D3F48">
        <w:rPr>
          <w:rFonts w:ascii="Times New Roman" w:hAnsi="Times New Roman"/>
          <w:sz w:val="24"/>
          <w:szCs w:val="24"/>
        </w:rPr>
        <w:t>блокированных в количестве 56</w:t>
      </w:r>
      <w:r w:rsidR="00824D94">
        <w:rPr>
          <w:rFonts w:ascii="Times New Roman" w:hAnsi="Times New Roman"/>
          <w:sz w:val="24"/>
          <w:szCs w:val="24"/>
        </w:rPr>
        <w:t>.</w:t>
      </w:r>
      <w:r w:rsidR="00AC43C3">
        <w:rPr>
          <w:rFonts w:ascii="Times New Roman" w:hAnsi="Times New Roman"/>
          <w:sz w:val="24"/>
          <w:szCs w:val="24"/>
        </w:rPr>
        <w:t xml:space="preserve"> </w:t>
      </w:r>
      <w:r w:rsidR="005550FD" w:rsidRPr="005550FD">
        <w:rPr>
          <w:rFonts w:ascii="Times New Roman" w:hAnsi="Times New Roman"/>
          <w:sz w:val="24"/>
          <w:szCs w:val="24"/>
        </w:rPr>
        <w:t>И</w:t>
      </w:r>
      <w:r w:rsidR="0050514B" w:rsidRPr="005550FD">
        <w:rPr>
          <w:rFonts w:ascii="Times New Roman" w:hAnsi="Times New Roman"/>
          <w:sz w:val="24"/>
          <w:szCs w:val="24"/>
        </w:rPr>
        <w:t>того</w:t>
      </w:r>
      <w:r w:rsidR="005550FD">
        <w:rPr>
          <w:rFonts w:ascii="Times New Roman" w:hAnsi="Times New Roman"/>
          <w:sz w:val="24"/>
          <w:szCs w:val="24"/>
        </w:rPr>
        <w:t>:</w:t>
      </w:r>
      <w:r w:rsidR="009D3F48">
        <w:rPr>
          <w:rFonts w:ascii="Times New Roman" w:hAnsi="Times New Roman"/>
          <w:sz w:val="24"/>
          <w:szCs w:val="24"/>
        </w:rPr>
        <w:t>140</w:t>
      </w:r>
      <w:r w:rsidR="005550FD">
        <w:rPr>
          <w:rFonts w:ascii="Times New Roman" w:hAnsi="Times New Roman"/>
          <w:sz w:val="24"/>
          <w:szCs w:val="24"/>
        </w:rPr>
        <w:t xml:space="preserve"> домов.</w:t>
      </w:r>
    </w:p>
    <w:p w:rsidR="007814BA" w:rsidRPr="004F19BB" w:rsidRDefault="00683163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F19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Муниципальное имущество</w:t>
      </w:r>
      <w:r w:rsidRPr="004F19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F64E5" w:rsidRPr="004F19BB" w:rsidRDefault="008F64E5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92F65" w:rsidRDefault="00592F65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F65">
        <w:rPr>
          <w:rFonts w:ascii="Times New Roman" w:hAnsi="Times New Roman"/>
          <w:sz w:val="24"/>
          <w:szCs w:val="24"/>
        </w:rPr>
        <w:t>Муниципальное имущество:</w:t>
      </w:r>
    </w:p>
    <w:p w:rsidR="00644FE1" w:rsidRDefault="00644FE1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Барлакского сельсовета Мошковского района Новосибирской области находится </w:t>
      </w:r>
      <w:r w:rsidR="00E97344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объектов муниципального имущества</w:t>
      </w:r>
      <w:r w:rsidR="00E973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балансовой стоимостью </w:t>
      </w:r>
      <w:r w:rsidR="00E97344">
        <w:rPr>
          <w:rFonts w:ascii="Times New Roman" w:hAnsi="Times New Roman"/>
          <w:sz w:val="24"/>
          <w:szCs w:val="24"/>
        </w:rPr>
        <w:t>32</w:t>
      </w:r>
      <w:r w:rsidR="000C410A">
        <w:rPr>
          <w:rFonts w:ascii="Times New Roman" w:hAnsi="Times New Roman"/>
          <w:sz w:val="24"/>
          <w:szCs w:val="24"/>
        </w:rPr>
        <w:t> </w:t>
      </w:r>
      <w:r w:rsidR="00E97344">
        <w:rPr>
          <w:rFonts w:ascii="Times New Roman" w:hAnsi="Times New Roman"/>
          <w:sz w:val="24"/>
          <w:szCs w:val="24"/>
        </w:rPr>
        <w:t>239</w:t>
      </w:r>
      <w:r w:rsidR="000C410A">
        <w:rPr>
          <w:rFonts w:ascii="Times New Roman" w:hAnsi="Times New Roman"/>
          <w:sz w:val="24"/>
          <w:szCs w:val="24"/>
        </w:rPr>
        <w:t>,</w:t>
      </w:r>
      <w:r w:rsidR="00E97344">
        <w:rPr>
          <w:rFonts w:ascii="Times New Roman" w:hAnsi="Times New Roman"/>
          <w:sz w:val="24"/>
          <w:szCs w:val="24"/>
        </w:rPr>
        <w:t>769</w:t>
      </w:r>
      <w:r w:rsidR="007A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0A">
        <w:rPr>
          <w:rFonts w:ascii="Times New Roman" w:hAnsi="Times New Roman"/>
          <w:sz w:val="24"/>
          <w:szCs w:val="24"/>
        </w:rPr>
        <w:t>тыс.руб</w:t>
      </w:r>
      <w:proofErr w:type="spellEnd"/>
      <w:r w:rsidR="007A2C69">
        <w:rPr>
          <w:rFonts w:ascii="Times New Roman" w:hAnsi="Times New Roman"/>
          <w:sz w:val="24"/>
          <w:szCs w:val="24"/>
        </w:rPr>
        <w:t>.</w:t>
      </w:r>
      <w:r w:rsidR="00E97344">
        <w:rPr>
          <w:rFonts w:ascii="Times New Roman" w:hAnsi="Times New Roman"/>
          <w:sz w:val="24"/>
          <w:szCs w:val="24"/>
        </w:rPr>
        <w:t xml:space="preserve"> Недвижимое имущество 22 объекта, стоимостью 13</w:t>
      </w:r>
      <w:r w:rsidR="000C410A">
        <w:rPr>
          <w:rFonts w:ascii="Times New Roman" w:hAnsi="Times New Roman"/>
          <w:sz w:val="24"/>
          <w:szCs w:val="24"/>
        </w:rPr>
        <w:t> </w:t>
      </w:r>
      <w:r w:rsidR="00E97344">
        <w:rPr>
          <w:rFonts w:ascii="Times New Roman" w:hAnsi="Times New Roman"/>
          <w:sz w:val="24"/>
          <w:szCs w:val="24"/>
        </w:rPr>
        <w:t>113</w:t>
      </w:r>
      <w:r w:rsidR="000C410A">
        <w:rPr>
          <w:rFonts w:ascii="Times New Roman" w:hAnsi="Times New Roman"/>
          <w:sz w:val="24"/>
          <w:szCs w:val="24"/>
        </w:rPr>
        <w:t>,</w:t>
      </w:r>
      <w:r w:rsidR="00E97344">
        <w:rPr>
          <w:rFonts w:ascii="Times New Roman" w:hAnsi="Times New Roman"/>
          <w:sz w:val="24"/>
          <w:szCs w:val="24"/>
        </w:rPr>
        <w:t>375</w:t>
      </w:r>
      <w:r w:rsidR="007A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0A">
        <w:rPr>
          <w:rFonts w:ascii="Times New Roman" w:hAnsi="Times New Roman"/>
          <w:sz w:val="24"/>
          <w:szCs w:val="24"/>
        </w:rPr>
        <w:t>тыс.руб</w:t>
      </w:r>
      <w:proofErr w:type="spellEnd"/>
      <w:r w:rsidR="00E97344">
        <w:rPr>
          <w:rFonts w:ascii="Times New Roman" w:hAnsi="Times New Roman"/>
          <w:sz w:val="24"/>
          <w:szCs w:val="24"/>
        </w:rPr>
        <w:t>. Движимое имущество 65 объектов, балансовой стоимостью 19</w:t>
      </w:r>
      <w:r w:rsidR="000C410A">
        <w:rPr>
          <w:rFonts w:ascii="Times New Roman" w:hAnsi="Times New Roman"/>
          <w:sz w:val="24"/>
          <w:szCs w:val="24"/>
        </w:rPr>
        <w:t> </w:t>
      </w:r>
      <w:r w:rsidR="00E97344">
        <w:rPr>
          <w:rFonts w:ascii="Times New Roman" w:hAnsi="Times New Roman"/>
          <w:sz w:val="24"/>
          <w:szCs w:val="24"/>
        </w:rPr>
        <w:t>126</w:t>
      </w:r>
      <w:r w:rsidR="000C410A">
        <w:rPr>
          <w:rFonts w:ascii="Times New Roman" w:hAnsi="Times New Roman"/>
          <w:sz w:val="24"/>
          <w:szCs w:val="24"/>
        </w:rPr>
        <w:t>,</w:t>
      </w:r>
      <w:r w:rsidR="007A2C69">
        <w:rPr>
          <w:rFonts w:ascii="Times New Roman" w:hAnsi="Times New Roman"/>
          <w:sz w:val="24"/>
          <w:szCs w:val="24"/>
        </w:rPr>
        <w:t xml:space="preserve">394 </w:t>
      </w:r>
      <w:proofErr w:type="spellStart"/>
      <w:r w:rsidR="000C410A">
        <w:rPr>
          <w:rFonts w:ascii="Times New Roman" w:hAnsi="Times New Roman"/>
          <w:sz w:val="24"/>
          <w:szCs w:val="24"/>
        </w:rPr>
        <w:t>тыс.руб</w:t>
      </w:r>
      <w:proofErr w:type="spellEnd"/>
      <w:r w:rsidR="000C410A">
        <w:rPr>
          <w:rFonts w:ascii="Times New Roman" w:hAnsi="Times New Roman"/>
          <w:sz w:val="24"/>
          <w:szCs w:val="24"/>
        </w:rPr>
        <w:t>.</w:t>
      </w:r>
    </w:p>
    <w:p w:rsidR="00644FE1" w:rsidRPr="00644FE1" w:rsidRDefault="00E97344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44FE1">
        <w:rPr>
          <w:rFonts w:ascii="Times New Roman" w:hAnsi="Times New Roman"/>
          <w:sz w:val="24"/>
          <w:szCs w:val="24"/>
        </w:rPr>
        <w:t xml:space="preserve">мущество казны </w:t>
      </w:r>
      <w:r>
        <w:rPr>
          <w:rFonts w:ascii="Times New Roman" w:hAnsi="Times New Roman"/>
          <w:sz w:val="24"/>
          <w:szCs w:val="24"/>
        </w:rPr>
        <w:t>83</w:t>
      </w:r>
      <w:r w:rsidR="000C41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546</w:t>
      </w:r>
      <w:r w:rsidR="000C410A">
        <w:rPr>
          <w:rFonts w:ascii="Times New Roman" w:hAnsi="Times New Roman"/>
          <w:sz w:val="24"/>
          <w:szCs w:val="24"/>
        </w:rPr>
        <w:t>,</w:t>
      </w:r>
      <w:r w:rsidR="007A2C69">
        <w:rPr>
          <w:rFonts w:ascii="Times New Roman" w:hAnsi="Times New Roman"/>
          <w:sz w:val="24"/>
          <w:szCs w:val="24"/>
        </w:rPr>
        <w:t xml:space="preserve">350 </w:t>
      </w:r>
      <w:proofErr w:type="spellStart"/>
      <w:r w:rsidR="000C410A">
        <w:rPr>
          <w:rFonts w:ascii="Times New Roman" w:hAnsi="Times New Roman"/>
          <w:sz w:val="24"/>
          <w:szCs w:val="24"/>
        </w:rPr>
        <w:t>тыс.руб</w:t>
      </w:r>
      <w:proofErr w:type="spellEnd"/>
      <w:r w:rsidR="000C410A">
        <w:rPr>
          <w:rFonts w:ascii="Times New Roman" w:hAnsi="Times New Roman"/>
          <w:sz w:val="24"/>
          <w:szCs w:val="24"/>
        </w:rPr>
        <w:t>.</w:t>
      </w:r>
    </w:p>
    <w:p w:rsidR="0050514B" w:rsidRDefault="0050514B" w:rsidP="00603AF5">
      <w:pPr>
        <w:spacing w:after="0" w:line="240" w:lineRule="auto"/>
        <w:ind w:left="45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1" w:name="_Toc468115515"/>
    </w:p>
    <w:p w:rsidR="00603AF5" w:rsidRPr="00104D1E" w:rsidRDefault="00603AF5" w:rsidP="00603AF5">
      <w:pPr>
        <w:spacing w:after="0" w:line="240" w:lineRule="auto"/>
        <w:ind w:left="45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</w:t>
      </w:r>
      <w:bookmarkStart w:id="2" w:name="_Toc468115516"/>
      <w:bookmarkEnd w:id="1"/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социально-экономического развития Барлакского сельсовета</w:t>
      </w:r>
    </w:p>
    <w:p w:rsidR="00603AF5" w:rsidRPr="0050514B" w:rsidRDefault="00603AF5" w:rsidP="00603AF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Мошковского района Новосибирской области</w:t>
      </w:r>
      <w:bookmarkEnd w:id="2"/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202</w:t>
      </w:r>
      <w:r w:rsidR="005263D0"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Pr="005051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03AF5" w:rsidRPr="0050514B" w:rsidRDefault="00603AF5" w:rsidP="00603AF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78"/>
        <w:gridCol w:w="1276"/>
        <w:gridCol w:w="2410"/>
      </w:tblGrid>
      <w:tr w:rsidR="00603AF5" w:rsidRPr="00FB158C" w:rsidTr="005550FD">
        <w:trPr>
          <w:trHeight w:val="1292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410" w:type="dxa"/>
            <w:vAlign w:val="center"/>
          </w:tcPr>
          <w:p w:rsidR="00603AF5" w:rsidRPr="00FB158C" w:rsidRDefault="008B2DDA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 (на конец года)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Материнская смертность на 100 тыс.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6,96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производства продукции сельского хозяйства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8,2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133,5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67,8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Поголовье КРС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 том числе коров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Поголовье свиней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тонн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объема инвестиций в основной капитал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выполненных работ по виду деятельности "строительство",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4,6</w:t>
            </w:r>
          </w:p>
        </w:tc>
      </w:tr>
      <w:tr w:rsidR="00603AF5" w:rsidRPr="00FB158C" w:rsidTr="005550FD">
        <w:trPr>
          <w:trHeight w:val="459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физ. объема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общей </w:t>
            </w: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щади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общей </w:t>
            </w: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щади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на 1 жителя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FB15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Перевезено грузов автомобильным транспортом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03AF5" w:rsidRPr="00FB158C" w:rsidTr="005550FD">
        <w:trPr>
          <w:trHeight w:val="477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Оборот розничной торговли</w:t>
            </w:r>
          </w:p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324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оборота розничной торговли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оборота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объема платных услуг населению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</w:t>
            </w:r>
          </w:p>
        </w:tc>
      </w:tr>
      <w:tr w:rsidR="00603AF5" w:rsidRPr="00FB158C" w:rsidTr="005550FD">
        <w:trPr>
          <w:trHeight w:val="642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занятых на малых предприятиях, человек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индивидуальных предпринимателей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фонд оплаты труда (для расчета среднемесячной заработной платы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31,5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198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1 работника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FB158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B15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3843,3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Доходы от аренды муниципального имущества, тыс. рублей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226,9</w:t>
            </w:r>
          </w:p>
        </w:tc>
      </w:tr>
    </w:tbl>
    <w:p w:rsidR="00646894" w:rsidRPr="004F19BB" w:rsidRDefault="00646894" w:rsidP="0050514B">
      <w:pPr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</w:p>
    <w:sectPr w:rsidR="00646894" w:rsidRPr="004F19BB" w:rsidSect="0050514B">
      <w:pgSz w:w="11907" w:h="16840"/>
      <w:pgMar w:top="1134" w:right="567" w:bottom="567" w:left="1560" w:header="680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9EC"/>
    <w:multiLevelType w:val="hybridMultilevel"/>
    <w:tmpl w:val="E2AEBAC6"/>
    <w:lvl w:ilvl="0" w:tplc="E8EE7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13D19"/>
    <w:rsid w:val="00014B0C"/>
    <w:rsid w:val="00020FBD"/>
    <w:rsid w:val="00025747"/>
    <w:rsid w:val="00034887"/>
    <w:rsid w:val="000659E2"/>
    <w:rsid w:val="00066FE6"/>
    <w:rsid w:val="00070656"/>
    <w:rsid w:val="000710BE"/>
    <w:rsid w:val="00072D3F"/>
    <w:rsid w:val="000C410A"/>
    <w:rsid w:val="000C4225"/>
    <w:rsid w:val="000D1473"/>
    <w:rsid w:val="00103FFF"/>
    <w:rsid w:val="00104D1E"/>
    <w:rsid w:val="0011585E"/>
    <w:rsid w:val="001209A8"/>
    <w:rsid w:val="00125855"/>
    <w:rsid w:val="00141ECB"/>
    <w:rsid w:val="0015449B"/>
    <w:rsid w:val="00192764"/>
    <w:rsid w:val="001A523B"/>
    <w:rsid w:val="001E3568"/>
    <w:rsid w:val="001E58CB"/>
    <w:rsid w:val="00220110"/>
    <w:rsid w:val="002353C0"/>
    <w:rsid w:val="00265D2E"/>
    <w:rsid w:val="0027128B"/>
    <w:rsid w:val="00285C53"/>
    <w:rsid w:val="00292C55"/>
    <w:rsid w:val="00292DCA"/>
    <w:rsid w:val="0029766D"/>
    <w:rsid w:val="002A4397"/>
    <w:rsid w:val="002B2DD3"/>
    <w:rsid w:val="002B39D7"/>
    <w:rsid w:val="002F2714"/>
    <w:rsid w:val="003056C1"/>
    <w:rsid w:val="00361D35"/>
    <w:rsid w:val="003732F5"/>
    <w:rsid w:val="003D5FE3"/>
    <w:rsid w:val="003E039E"/>
    <w:rsid w:val="003E1FDB"/>
    <w:rsid w:val="003E46BD"/>
    <w:rsid w:val="003E59E0"/>
    <w:rsid w:val="004022A6"/>
    <w:rsid w:val="00423086"/>
    <w:rsid w:val="00431D25"/>
    <w:rsid w:val="0043613A"/>
    <w:rsid w:val="00442CE2"/>
    <w:rsid w:val="00471E76"/>
    <w:rsid w:val="00480D40"/>
    <w:rsid w:val="00481E8F"/>
    <w:rsid w:val="0048598F"/>
    <w:rsid w:val="004861E9"/>
    <w:rsid w:val="004A4B93"/>
    <w:rsid w:val="004C26C9"/>
    <w:rsid w:val="004C5EDB"/>
    <w:rsid w:val="004C6530"/>
    <w:rsid w:val="004F19BB"/>
    <w:rsid w:val="004F2643"/>
    <w:rsid w:val="0050514B"/>
    <w:rsid w:val="00505915"/>
    <w:rsid w:val="00507657"/>
    <w:rsid w:val="0051647C"/>
    <w:rsid w:val="005263D0"/>
    <w:rsid w:val="0054257B"/>
    <w:rsid w:val="00546199"/>
    <w:rsid w:val="00547C33"/>
    <w:rsid w:val="005550FD"/>
    <w:rsid w:val="005620FD"/>
    <w:rsid w:val="00583E2F"/>
    <w:rsid w:val="00584C4A"/>
    <w:rsid w:val="00586895"/>
    <w:rsid w:val="00592F65"/>
    <w:rsid w:val="005946D0"/>
    <w:rsid w:val="0059753B"/>
    <w:rsid w:val="005B4384"/>
    <w:rsid w:val="005C4D8C"/>
    <w:rsid w:val="005C5944"/>
    <w:rsid w:val="005C6C80"/>
    <w:rsid w:val="005F77A3"/>
    <w:rsid w:val="00601EB2"/>
    <w:rsid w:val="00603AF5"/>
    <w:rsid w:val="006057A6"/>
    <w:rsid w:val="0062406B"/>
    <w:rsid w:val="006265C9"/>
    <w:rsid w:val="00644FE1"/>
    <w:rsid w:val="00645328"/>
    <w:rsid w:val="00646894"/>
    <w:rsid w:val="00675E09"/>
    <w:rsid w:val="00683163"/>
    <w:rsid w:val="006A4351"/>
    <w:rsid w:val="006C008C"/>
    <w:rsid w:val="006D3F96"/>
    <w:rsid w:val="006E6D6E"/>
    <w:rsid w:val="00715F08"/>
    <w:rsid w:val="00736F63"/>
    <w:rsid w:val="007814BA"/>
    <w:rsid w:val="00792148"/>
    <w:rsid w:val="007939CF"/>
    <w:rsid w:val="007A21E0"/>
    <w:rsid w:val="007A2C69"/>
    <w:rsid w:val="007A556C"/>
    <w:rsid w:val="007B2217"/>
    <w:rsid w:val="007C3987"/>
    <w:rsid w:val="007D75EF"/>
    <w:rsid w:val="007D766D"/>
    <w:rsid w:val="007E5F3A"/>
    <w:rsid w:val="00814E90"/>
    <w:rsid w:val="00823FB3"/>
    <w:rsid w:val="00824D94"/>
    <w:rsid w:val="00832720"/>
    <w:rsid w:val="00850AA4"/>
    <w:rsid w:val="0085563E"/>
    <w:rsid w:val="0086156D"/>
    <w:rsid w:val="00890948"/>
    <w:rsid w:val="0089542C"/>
    <w:rsid w:val="008A6053"/>
    <w:rsid w:val="008B2DDA"/>
    <w:rsid w:val="008E15C7"/>
    <w:rsid w:val="008F64E5"/>
    <w:rsid w:val="00902FA5"/>
    <w:rsid w:val="00904B87"/>
    <w:rsid w:val="009103E1"/>
    <w:rsid w:val="00910CE4"/>
    <w:rsid w:val="0094045D"/>
    <w:rsid w:val="00967A81"/>
    <w:rsid w:val="009719C4"/>
    <w:rsid w:val="009758A7"/>
    <w:rsid w:val="009767C7"/>
    <w:rsid w:val="009A3311"/>
    <w:rsid w:val="009A538A"/>
    <w:rsid w:val="009C55D6"/>
    <w:rsid w:val="009C7213"/>
    <w:rsid w:val="009D3F48"/>
    <w:rsid w:val="009E1106"/>
    <w:rsid w:val="009E3A17"/>
    <w:rsid w:val="009E3EF5"/>
    <w:rsid w:val="009F73B8"/>
    <w:rsid w:val="00A11F45"/>
    <w:rsid w:val="00A406B0"/>
    <w:rsid w:val="00A416B4"/>
    <w:rsid w:val="00A5164F"/>
    <w:rsid w:val="00A63070"/>
    <w:rsid w:val="00A63DE8"/>
    <w:rsid w:val="00A94641"/>
    <w:rsid w:val="00AB5DC4"/>
    <w:rsid w:val="00AC43C3"/>
    <w:rsid w:val="00AD12FD"/>
    <w:rsid w:val="00B06F59"/>
    <w:rsid w:val="00B23693"/>
    <w:rsid w:val="00B25233"/>
    <w:rsid w:val="00B44675"/>
    <w:rsid w:val="00B46D6A"/>
    <w:rsid w:val="00B53468"/>
    <w:rsid w:val="00B57FFB"/>
    <w:rsid w:val="00B72E02"/>
    <w:rsid w:val="00B76A09"/>
    <w:rsid w:val="00B81939"/>
    <w:rsid w:val="00BB66A2"/>
    <w:rsid w:val="00BB7E36"/>
    <w:rsid w:val="00BC0115"/>
    <w:rsid w:val="00BD43F7"/>
    <w:rsid w:val="00BE3B6F"/>
    <w:rsid w:val="00C00063"/>
    <w:rsid w:val="00C32745"/>
    <w:rsid w:val="00C35B5D"/>
    <w:rsid w:val="00C538C1"/>
    <w:rsid w:val="00C55E81"/>
    <w:rsid w:val="00C7639E"/>
    <w:rsid w:val="00C848EF"/>
    <w:rsid w:val="00C97523"/>
    <w:rsid w:val="00CA7B9B"/>
    <w:rsid w:val="00CB0017"/>
    <w:rsid w:val="00CB1F48"/>
    <w:rsid w:val="00CC4FFC"/>
    <w:rsid w:val="00CC76B3"/>
    <w:rsid w:val="00D00E24"/>
    <w:rsid w:val="00D330E7"/>
    <w:rsid w:val="00D606E3"/>
    <w:rsid w:val="00D62361"/>
    <w:rsid w:val="00D62EC1"/>
    <w:rsid w:val="00D63861"/>
    <w:rsid w:val="00DA41CE"/>
    <w:rsid w:val="00DB2C79"/>
    <w:rsid w:val="00DE6693"/>
    <w:rsid w:val="00DF49B3"/>
    <w:rsid w:val="00E026B9"/>
    <w:rsid w:val="00E049D6"/>
    <w:rsid w:val="00E21234"/>
    <w:rsid w:val="00E27EDD"/>
    <w:rsid w:val="00E31DDF"/>
    <w:rsid w:val="00E32FAF"/>
    <w:rsid w:val="00E61A1B"/>
    <w:rsid w:val="00E6380B"/>
    <w:rsid w:val="00E76215"/>
    <w:rsid w:val="00E97344"/>
    <w:rsid w:val="00EB6D9E"/>
    <w:rsid w:val="00ED7D35"/>
    <w:rsid w:val="00EE6DC3"/>
    <w:rsid w:val="00EE6EAB"/>
    <w:rsid w:val="00F15D24"/>
    <w:rsid w:val="00F2493C"/>
    <w:rsid w:val="00F25324"/>
    <w:rsid w:val="00F26DFF"/>
    <w:rsid w:val="00F32924"/>
    <w:rsid w:val="00F56CF8"/>
    <w:rsid w:val="00F6519A"/>
    <w:rsid w:val="00F819DC"/>
    <w:rsid w:val="00F833F7"/>
    <w:rsid w:val="00F92ED2"/>
    <w:rsid w:val="00F96F0B"/>
    <w:rsid w:val="00F970D7"/>
    <w:rsid w:val="00FA798C"/>
    <w:rsid w:val="00FD14D5"/>
    <w:rsid w:val="00FE01F8"/>
    <w:rsid w:val="00FE23BC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BA3B"/>
  <w15:docId w15:val="{66A5418A-6187-414E-AF82-27575FD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5D5D3-577C-44EF-B562-B2056985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cp:lastPrinted>2023-03-27T08:50:00Z</cp:lastPrinted>
  <dcterms:created xsi:type="dcterms:W3CDTF">2023-03-28T02:39:00Z</dcterms:created>
  <dcterms:modified xsi:type="dcterms:W3CDTF">2023-03-28T07:25:00Z</dcterms:modified>
</cp:coreProperties>
</file>